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24A" w:rsidRPr="000E3089" w:rsidRDefault="000D424A" w:rsidP="000E3089">
      <w:pPr>
        <w:spacing w:after="0"/>
        <w:jc w:val="center"/>
        <w:rPr>
          <w:rStyle w:val="pretag"/>
          <w:rFonts w:ascii="Arial" w:hAnsi="Arial" w:cs="Arial"/>
          <w:sz w:val="24"/>
          <w:szCs w:val="24"/>
          <w:shd w:val="clear" w:color="auto" w:fill="FFFFFF"/>
        </w:rPr>
      </w:pPr>
      <w:r w:rsidRPr="000E3089">
        <w:rPr>
          <w:rStyle w:val="pretag"/>
          <w:rFonts w:ascii="Arial" w:hAnsi="Arial" w:cs="Arial"/>
          <w:sz w:val="24"/>
          <w:szCs w:val="24"/>
          <w:shd w:val="clear" w:color="auto" w:fill="FFFFFF"/>
        </w:rPr>
        <w:t xml:space="preserve">Details of Actions undertaken to reduce compliance burden for items taken </w:t>
      </w:r>
    </w:p>
    <w:p w:rsidR="000D424A" w:rsidRPr="000E3089" w:rsidRDefault="000D424A" w:rsidP="000E3089">
      <w:pPr>
        <w:spacing w:after="0"/>
        <w:jc w:val="center"/>
        <w:rPr>
          <w:rStyle w:val="pretag"/>
          <w:rFonts w:ascii="Arial" w:hAnsi="Arial" w:cs="Arial"/>
          <w:sz w:val="24"/>
          <w:szCs w:val="24"/>
          <w:shd w:val="clear" w:color="auto" w:fill="FFFFFF"/>
        </w:rPr>
      </w:pPr>
    </w:p>
    <w:p w:rsidR="000D424A" w:rsidRPr="000E3089" w:rsidRDefault="000D424A" w:rsidP="000E3089">
      <w:pPr>
        <w:pStyle w:val="ListParagraph"/>
        <w:numPr>
          <w:ilvl w:val="0"/>
          <w:numId w:val="2"/>
        </w:numPr>
        <w:spacing w:after="0" w:line="276" w:lineRule="auto"/>
        <w:jc w:val="center"/>
        <w:rPr>
          <w:rStyle w:val="pretag"/>
          <w:rFonts w:ascii="Arial" w:hAnsi="Arial" w:cs="Arial"/>
          <w:b/>
          <w:sz w:val="24"/>
          <w:szCs w:val="24"/>
          <w:shd w:val="clear" w:color="auto" w:fill="FFFFFF"/>
        </w:rPr>
      </w:pPr>
      <w:r w:rsidRPr="000E3089">
        <w:rPr>
          <w:rStyle w:val="pretag"/>
          <w:rFonts w:ascii="Arial" w:hAnsi="Arial" w:cs="Arial"/>
          <w:b/>
          <w:sz w:val="24"/>
          <w:szCs w:val="24"/>
          <w:shd w:val="clear" w:color="auto" w:fill="FFFFFF"/>
        </w:rPr>
        <w:t xml:space="preserve"> Completed Activities </w:t>
      </w:r>
    </w:p>
    <w:p w:rsidR="000D424A" w:rsidRPr="000E3089" w:rsidRDefault="000D424A" w:rsidP="000E3089">
      <w:pPr>
        <w:spacing w:after="0"/>
        <w:rPr>
          <w:rFonts w:ascii="Arial" w:hAnsi="Arial" w:cs="Arial"/>
          <w:b/>
          <w:sz w:val="24"/>
          <w:szCs w:val="24"/>
          <w:shd w:val="clear" w:color="auto" w:fill="FFFFFF"/>
        </w:rPr>
      </w:pPr>
    </w:p>
    <w:tbl>
      <w:tblPr>
        <w:tblStyle w:val="TableGrid"/>
        <w:tblW w:w="9918" w:type="dxa"/>
        <w:tblLayout w:type="fixed"/>
        <w:tblLook w:val="04A0"/>
      </w:tblPr>
      <w:tblGrid>
        <w:gridCol w:w="846"/>
        <w:gridCol w:w="54"/>
        <w:gridCol w:w="4452"/>
        <w:gridCol w:w="30"/>
        <w:gridCol w:w="4536"/>
      </w:tblGrid>
      <w:tr w:rsidR="000D424A" w:rsidRPr="000E3089" w:rsidTr="00D74FA6">
        <w:trPr>
          <w:trHeight w:val="829"/>
        </w:trPr>
        <w:tc>
          <w:tcPr>
            <w:tcW w:w="846" w:type="dxa"/>
          </w:tcPr>
          <w:p w:rsidR="000D424A" w:rsidRPr="000E3089" w:rsidRDefault="000D424A" w:rsidP="000E3089">
            <w:pPr>
              <w:jc w:val="center"/>
              <w:rPr>
                <w:rFonts w:ascii="Arial" w:hAnsi="Arial" w:cs="Arial"/>
                <w:b/>
                <w:sz w:val="24"/>
                <w:szCs w:val="24"/>
              </w:rPr>
            </w:pPr>
            <w:r w:rsidRPr="000E3089">
              <w:rPr>
                <w:rFonts w:ascii="Arial" w:hAnsi="Arial" w:cs="Arial"/>
                <w:b/>
                <w:sz w:val="24"/>
                <w:szCs w:val="24"/>
              </w:rPr>
              <w:t>Sl. No.</w:t>
            </w:r>
          </w:p>
        </w:tc>
        <w:tc>
          <w:tcPr>
            <w:tcW w:w="4536" w:type="dxa"/>
            <w:gridSpan w:val="3"/>
          </w:tcPr>
          <w:p w:rsidR="000D424A" w:rsidRPr="000E3089" w:rsidRDefault="000D424A" w:rsidP="000E3089">
            <w:pPr>
              <w:jc w:val="center"/>
              <w:rPr>
                <w:rFonts w:ascii="Arial" w:hAnsi="Arial" w:cs="Arial"/>
                <w:b/>
                <w:sz w:val="24"/>
                <w:szCs w:val="24"/>
              </w:rPr>
            </w:pPr>
            <w:r w:rsidRPr="000E3089">
              <w:rPr>
                <w:rFonts w:ascii="Arial" w:hAnsi="Arial" w:cs="Arial"/>
                <w:b/>
                <w:sz w:val="24"/>
                <w:szCs w:val="24"/>
              </w:rPr>
              <w:t xml:space="preserve">Details of Action </w:t>
            </w:r>
          </w:p>
        </w:tc>
        <w:tc>
          <w:tcPr>
            <w:tcW w:w="4536" w:type="dxa"/>
          </w:tcPr>
          <w:p w:rsidR="000D424A" w:rsidRPr="000E3089" w:rsidRDefault="000D424A" w:rsidP="000E3089">
            <w:pPr>
              <w:jc w:val="center"/>
              <w:rPr>
                <w:rFonts w:ascii="Arial" w:hAnsi="Arial" w:cs="Arial"/>
                <w:b/>
                <w:sz w:val="24"/>
                <w:szCs w:val="24"/>
              </w:rPr>
            </w:pPr>
            <w:r w:rsidRPr="000E3089">
              <w:rPr>
                <w:rFonts w:ascii="Arial" w:hAnsi="Arial" w:cs="Arial"/>
                <w:b/>
                <w:sz w:val="24"/>
                <w:szCs w:val="24"/>
              </w:rPr>
              <w:t xml:space="preserve">Status </w:t>
            </w:r>
          </w:p>
        </w:tc>
      </w:tr>
      <w:tr w:rsidR="000D424A" w:rsidRPr="000E3089" w:rsidTr="00D74FA6">
        <w:trPr>
          <w:trHeight w:val="2780"/>
        </w:trPr>
        <w:tc>
          <w:tcPr>
            <w:tcW w:w="900" w:type="dxa"/>
            <w:gridSpan w:val="2"/>
            <w:tcBorders>
              <w:bottom w:val="single" w:sz="4" w:space="0" w:color="000000" w:themeColor="text1"/>
            </w:tcBorders>
          </w:tcPr>
          <w:p w:rsidR="000D424A" w:rsidRPr="000E3089" w:rsidRDefault="000D424A" w:rsidP="000E3089">
            <w:pPr>
              <w:pStyle w:val="ListParagraph"/>
              <w:numPr>
                <w:ilvl w:val="0"/>
                <w:numId w:val="1"/>
              </w:numPr>
              <w:spacing w:after="0" w:line="276" w:lineRule="auto"/>
              <w:jc w:val="both"/>
              <w:rPr>
                <w:rFonts w:ascii="Arial" w:hAnsi="Arial" w:cs="Arial"/>
                <w:sz w:val="24"/>
                <w:szCs w:val="24"/>
              </w:rPr>
            </w:pPr>
          </w:p>
        </w:tc>
        <w:tc>
          <w:tcPr>
            <w:tcW w:w="4452" w:type="dxa"/>
            <w:tcBorders>
              <w:bottom w:val="single" w:sz="4" w:space="0" w:color="000000" w:themeColor="text1"/>
            </w:tcBorders>
          </w:tcPr>
          <w:p w:rsidR="000D424A" w:rsidRPr="000E3089" w:rsidRDefault="000D424A" w:rsidP="000E3089">
            <w:pPr>
              <w:jc w:val="both"/>
              <w:rPr>
                <w:rFonts w:ascii="Arial" w:hAnsi="Arial" w:cs="Arial"/>
                <w:sz w:val="24"/>
                <w:szCs w:val="24"/>
              </w:rPr>
            </w:pPr>
            <w:r w:rsidRPr="000E3089">
              <w:rPr>
                <w:rFonts w:ascii="Arial" w:hAnsi="Arial" w:cs="Arial"/>
                <w:sz w:val="24"/>
                <w:szCs w:val="24"/>
              </w:rPr>
              <w:t>NALSA to develop mobile application to enhance access of citizens availing free legal services. The mobile application will enable citizens to submit legal aid applications 24x7 from smartphones. Citizens will also be able to keep track of their legal aid applications/ legal aided cases.</w:t>
            </w:r>
          </w:p>
        </w:tc>
        <w:tc>
          <w:tcPr>
            <w:tcW w:w="4566" w:type="dxa"/>
            <w:gridSpan w:val="2"/>
            <w:tcBorders>
              <w:bottom w:val="single" w:sz="4" w:space="0" w:color="000000" w:themeColor="text1"/>
            </w:tcBorders>
          </w:tcPr>
          <w:p w:rsidR="000D424A" w:rsidRPr="000E3089" w:rsidRDefault="000D424A" w:rsidP="000E3089">
            <w:pPr>
              <w:jc w:val="both"/>
              <w:rPr>
                <w:rFonts w:ascii="Arial" w:hAnsi="Arial" w:cs="Arial"/>
                <w:sz w:val="24"/>
                <w:szCs w:val="24"/>
                <w:lang w:val="en-GB"/>
              </w:rPr>
            </w:pPr>
            <w:r w:rsidRPr="000E3089">
              <w:rPr>
                <w:rFonts w:ascii="Arial" w:hAnsi="Arial" w:cs="Arial"/>
                <w:sz w:val="24"/>
                <w:szCs w:val="24"/>
                <w:lang w:val="en-GB"/>
              </w:rPr>
              <w:t>Mobile application launched on 8th August, 2021.</w:t>
            </w:r>
          </w:p>
        </w:tc>
      </w:tr>
      <w:tr w:rsidR="000D424A" w:rsidRPr="000E3089" w:rsidTr="00D74FA6">
        <w:trPr>
          <w:trHeight w:val="2780"/>
        </w:trPr>
        <w:tc>
          <w:tcPr>
            <w:tcW w:w="846" w:type="dxa"/>
            <w:tcBorders>
              <w:bottom w:val="single" w:sz="4" w:space="0" w:color="000000" w:themeColor="text1"/>
            </w:tcBorders>
          </w:tcPr>
          <w:p w:rsidR="000D424A" w:rsidRPr="000E3089" w:rsidRDefault="000D424A" w:rsidP="000E3089">
            <w:pPr>
              <w:pStyle w:val="ListParagraph"/>
              <w:numPr>
                <w:ilvl w:val="0"/>
                <w:numId w:val="1"/>
              </w:numPr>
              <w:spacing w:after="0" w:line="276" w:lineRule="auto"/>
              <w:jc w:val="both"/>
              <w:rPr>
                <w:rFonts w:ascii="Arial" w:hAnsi="Arial" w:cs="Arial"/>
                <w:sz w:val="24"/>
                <w:szCs w:val="24"/>
              </w:rPr>
            </w:pPr>
          </w:p>
        </w:tc>
        <w:tc>
          <w:tcPr>
            <w:tcW w:w="4536" w:type="dxa"/>
            <w:gridSpan w:val="3"/>
          </w:tcPr>
          <w:p w:rsidR="000D424A" w:rsidRPr="000E3089" w:rsidRDefault="000D424A" w:rsidP="000E3089">
            <w:pPr>
              <w:jc w:val="both"/>
              <w:rPr>
                <w:rFonts w:ascii="Arial" w:hAnsi="Arial" w:cs="Arial"/>
                <w:sz w:val="24"/>
                <w:szCs w:val="24"/>
              </w:rPr>
            </w:pPr>
            <w:r w:rsidRPr="000E3089">
              <w:rPr>
                <w:rFonts w:ascii="Arial" w:hAnsi="Arial" w:cs="Arial"/>
                <w:sz w:val="24"/>
                <w:szCs w:val="24"/>
              </w:rPr>
              <w:t>An online Platform for Victim Compensation Scheme will be developed by NALSA to facilitate filing of application for immediate/interim compensation and registering references received from the court for payment of compensation to victims of crime. The application will have provision for tracking the progress of victim compensation application/ reference.</w:t>
            </w:r>
          </w:p>
        </w:tc>
        <w:tc>
          <w:tcPr>
            <w:tcW w:w="4536" w:type="dxa"/>
          </w:tcPr>
          <w:p w:rsidR="000D424A" w:rsidRPr="000E3089" w:rsidRDefault="000D424A" w:rsidP="000E3089">
            <w:pPr>
              <w:jc w:val="both"/>
              <w:rPr>
                <w:rFonts w:ascii="Arial" w:hAnsi="Arial" w:cs="Arial"/>
                <w:sz w:val="24"/>
                <w:szCs w:val="24"/>
              </w:rPr>
            </w:pPr>
            <w:r w:rsidRPr="000E3089">
              <w:rPr>
                <w:rFonts w:ascii="Arial" w:hAnsi="Arial" w:cs="Arial"/>
                <w:sz w:val="24"/>
                <w:szCs w:val="24"/>
                <w:lang w:val="en-GB"/>
              </w:rPr>
              <w:t>Mobile application launched on 8th August, 2021.</w:t>
            </w:r>
          </w:p>
        </w:tc>
      </w:tr>
      <w:tr w:rsidR="000D424A" w:rsidRPr="000E3089" w:rsidTr="00D74FA6">
        <w:trPr>
          <w:trHeight w:val="2780"/>
        </w:trPr>
        <w:tc>
          <w:tcPr>
            <w:tcW w:w="846" w:type="dxa"/>
            <w:tcBorders>
              <w:bottom w:val="single" w:sz="4" w:space="0" w:color="000000" w:themeColor="text1"/>
            </w:tcBorders>
          </w:tcPr>
          <w:p w:rsidR="000D424A" w:rsidRPr="000E3089" w:rsidRDefault="000D424A" w:rsidP="000E3089">
            <w:pPr>
              <w:pStyle w:val="ListParagraph"/>
              <w:numPr>
                <w:ilvl w:val="0"/>
                <w:numId w:val="1"/>
              </w:numPr>
              <w:spacing w:after="0" w:line="276" w:lineRule="auto"/>
              <w:jc w:val="both"/>
              <w:rPr>
                <w:rFonts w:ascii="Arial" w:hAnsi="Arial" w:cs="Arial"/>
                <w:sz w:val="24"/>
                <w:szCs w:val="24"/>
              </w:rPr>
            </w:pPr>
          </w:p>
        </w:tc>
        <w:tc>
          <w:tcPr>
            <w:tcW w:w="4536" w:type="dxa"/>
            <w:gridSpan w:val="3"/>
          </w:tcPr>
          <w:p w:rsidR="000D424A" w:rsidRPr="000E3089" w:rsidRDefault="000D424A" w:rsidP="000E3089">
            <w:pPr>
              <w:jc w:val="both"/>
              <w:rPr>
                <w:rFonts w:ascii="Arial" w:hAnsi="Arial" w:cs="Arial"/>
                <w:sz w:val="24"/>
                <w:szCs w:val="24"/>
              </w:rPr>
            </w:pPr>
            <w:r w:rsidRPr="000E3089">
              <w:rPr>
                <w:rFonts w:ascii="Arial" w:hAnsi="Arial" w:cs="Arial"/>
                <w:sz w:val="24"/>
                <w:szCs w:val="24"/>
              </w:rPr>
              <w:t xml:space="preserve">Online Platform to be developed by NALSA for Mediation including Pre-litigation Mediation along with </w:t>
            </w:r>
            <w:proofErr w:type="spellStart"/>
            <w:r w:rsidRPr="000E3089">
              <w:rPr>
                <w:rFonts w:ascii="Arial" w:hAnsi="Arial" w:cs="Arial"/>
                <w:sz w:val="24"/>
                <w:szCs w:val="24"/>
              </w:rPr>
              <w:t>organisation</w:t>
            </w:r>
            <w:proofErr w:type="spellEnd"/>
            <w:r w:rsidRPr="000E3089">
              <w:rPr>
                <w:rFonts w:ascii="Arial" w:hAnsi="Arial" w:cs="Arial"/>
                <w:sz w:val="24"/>
                <w:szCs w:val="24"/>
              </w:rPr>
              <w:t xml:space="preserve"> of E-</w:t>
            </w:r>
            <w:proofErr w:type="spellStart"/>
            <w:r w:rsidRPr="000E3089">
              <w:rPr>
                <w:rFonts w:ascii="Arial" w:hAnsi="Arial" w:cs="Arial"/>
                <w:sz w:val="24"/>
                <w:szCs w:val="24"/>
              </w:rPr>
              <w:t>LokAdalats</w:t>
            </w:r>
            <w:proofErr w:type="spellEnd"/>
            <w:r w:rsidRPr="000E3089">
              <w:rPr>
                <w:rFonts w:ascii="Arial" w:hAnsi="Arial" w:cs="Arial"/>
                <w:sz w:val="24"/>
                <w:szCs w:val="24"/>
              </w:rPr>
              <w:t>. Through this platform, online notices to the other parties will be sent along with obtaining online consent for participation. The system will facilitate scheduling pre-</w:t>
            </w:r>
            <w:proofErr w:type="spellStart"/>
            <w:r w:rsidRPr="000E3089">
              <w:rPr>
                <w:rFonts w:ascii="Arial" w:hAnsi="Arial" w:cs="Arial"/>
                <w:sz w:val="24"/>
                <w:szCs w:val="24"/>
              </w:rPr>
              <w:t>LokAdalat</w:t>
            </w:r>
            <w:proofErr w:type="spellEnd"/>
            <w:r w:rsidRPr="000E3089">
              <w:rPr>
                <w:rFonts w:ascii="Arial" w:hAnsi="Arial" w:cs="Arial"/>
                <w:sz w:val="24"/>
                <w:szCs w:val="24"/>
              </w:rPr>
              <w:t xml:space="preserve"> sittings and mediation sessions etc.</w:t>
            </w:r>
          </w:p>
        </w:tc>
        <w:tc>
          <w:tcPr>
            <w:tcW w:w="4536" w:type="dxa"/>
          </w:tcPr>
          <w:p w:rsidR="000D424A" w:rsidRPr="000E3089" w:rsidRDefault="000D424A" w:rsidP="000E3089">
            <w:pPr>
              <w:jc w:val="both"/>
              <w:rPr>
                <w:rFonts w:ascii="Arial" w:hAnsi="Arial" w:cs="Arial"/>
                <w:sz w:val="24"/>
                <w:szCs w:val="24"/>
                <w:lang w:val="en-GB"/>
              </w:rPr>
            </w:pPr>
            <w:r w:rsidRPr="000E3089">
              <w:rPr>
                <w:rFonts w:ascii="Arial" w:hAnsi="Arial" w:cs="Arial"/>
                <w:sz w:val="24"/>
                <w:szCs w:val="24"/>
                <w:lang w:val="en-GB"/>
              </w:rPr>
              <w:t>Mobile application launched on 8th August, 2021.</w:t>
            </w:r>
          </w:p>
        </w:tc>
      </w:tr>
      <w:tr w:rsidR="000D424A" w:rsidRPr="000E3089" w:rsidTr="00D74FA6">
        <w:trPr>
          <w:trHeight w:val="2780"/>
        </w:trPr>
        <w:tc>
          <w:tcPr>
            <w:tcW w:w="846" w:type="dxa"/>
            <w:tcBorders>
              <w:bottom w:val="single" w:sz="4" w:space="0" w:color="000000" w:themeColor="text1"/>
            </w:tcBorders>
          </w:tcPr>
          <w:p w:rsidR="000D424A" w:rsidRPr="000E3089" w:rsidRDefault="000D424A" w:rsidP="000E3089">
            <w:pPr>
              <w:pStyle w:val="ListParagraph"/>
              <w:numPr>
                <w:ilvl w:val="0"/>
                <w:numId w:val="1"/>
              </w:numPr>
              <w:spacing w:after="0" w:line="276" w:lineRule="auto"/>
              <w:jc w:val="both"/>
              <w:rPr>
                <w:rFonts w:ascii="Arial" w:hAnsi="Arial" w:cs="Arial"/>
                <w:sz w:val="24"/>
                <w:szCs w:val="24"/>
              </w:rPr>
            </w:pPr>
          </w:p>
        </w:tc>
        <w:tc>
          <w:tcPr>
            <w:tcW w:w="4536" w:type="dxa"/>
            <w:gridSpan w:val="3"/>
          </w:tcPr>
          <w:p w:rsidR="000D424A" w:rsidRPr="000E3089" w:rsidRDefault="000D424A" w:rsidP="000E3089">
            <w:pPr>
              <w:jc w:val="both"/>
              <w:rPr>
                <w:rFonts w:ascii="Arial" w:hAnsi="Arial" w:cs="Arial"/>
                <w:sz w:val="24"/>
                <w:szCs w:val="24"/>
              </w:rPr>
            </w:pPr>
            <w:r w:rsidRPr="000E3089">
              <w:rPr>
                <w:rFonts w:ascii="Arial" w:hAnsi="Arial" w:cs="Arial"/>
                <w:sz w:val="24"/>
                <w:szCs w:val="24"/>
              </w:rPr>
              <w:t>A software patch to be developed to facilitate sending e-summons through emails/SMS alert by obtaining database of companies registered with Ministry of Corporate Affairs. Besides reducing the cumbersome procedure and logistical inconvenience in notice-serving, e-Summons will result in saving of time and cost thereby improving the overall functioning of these Courts.</w:t>
            </w:r>
          </w:p>
          <w:p w:rsidR="000D424A" w:rsidRPr="000E3089" w:rsidRDefault="000D424A" w:rsidP="000E3089">
            <w:pPr>
              <w:jc w:val="both"/>
              <w:rPr>
                <w:rFonts w:ascii="Arial" w:hAnsi="Arial" w:cs="Arial"/>
                <w:sz w:val="24"/>
                <w:szCs w:val="24"/>
              </w:rPr>
            </w:pPr>
          </w:p>
          <w:p w:rsidR="000D424A" w:rsidRPr="000E3089" w:rsidRDefault="000D424A" w:rsidP="000E3089">
            <w:pPr>
              <w:jc w:val="both"/>
              <w:rPr>
                <w:rFonts w:ascii="Arial" w:hAnsi="Arial" w:cs="Arial"/>
                <w:sz w:val="24"/>
                <w:szCs w:val="24"/>
              </w:rPr>
            </w:pPr>
          </w:p>
        </w:tc>
        <w:tc>
          <w:tcPr>
            <w:tcW w:w="4536" w:type="dxa"/>
          </w:tcPr>
          <w:p w:rsidR="000D424A" w:rsidRPr="000E3089" w:rsidRDefault="000D424A" w:rsidP="000E3089">
            <w:pPr>
              <w:jc w:val="both"/>
              <w:rPr>
                <w:rFonts w:ascii="Arial" w:hAnsi="Arial" w:cs="Arial"/>
                <w:sz w:val="24"/>
                <w:szCs w:val="24"/>
              </w:rPr>
            </w:pPr>
            <w:r w:rsidRPr="000E3089">
              <w:rPr>
                <w:rFonts w:ascii="Arial" w:hAnsi="Arial" w:cs="Arial"/>
                <w:sz w:val="24"/>
                <w:szCs w:val="24"/>
              </w:rPr>
              <w:t xml:space="preserve">New API and software patch has been developed by NIC </w:t>
            </w:r>
            <w:r w:rsidRPr="000E3089">
              <w:rPr>
                <w:rFonts w:ascii="Arial" w:hAnsi="Arial" w:cs="Arial"/>
                <w:sz w:val="24"/>
                <w:szCs w:val="24"/>
                <w:lang w:val="en-GB"/>
              </w:rPr>
              <w:t xml:space="preserve">for fetching data from the Ministry of Corporate Affairs database containing emails and mobile numbers of all registered companies to facilitate </w:t>
            </w:r>
            <w:proofErr w:type="spellStart"/>
            <w:r w:rsidRPr="000E3089">
              <w:rPr>
                <w:rFonts w:ascii="Arial" w:hAnsi="Arial" w:cs="Arial"/>
                <w:sz w:val="24"/>
                <w:szCs w:val="24"/>
                <w:lang w:val="en-GB"/>
              </w:rPr>
              <w:t>eSummons</w:t>
            </w:r>
            <w:proofErr w:type="spellEnd"/>
            <w:r w:rsidRPr="000E3089">
              <w:rPr>
                <w:rFonts w:ascii="Arial" w:hAnsi="Arial" w:cs="Arial"/>
                <w:sz w:val="24"/>
                <w:szCs w:val="24"/>
                <w:lang w:val="en-GB"/>
              </w:rPr>
              <w:t xml:space="preserve">.  </w:t>
            </w:r>
            <w:proofErr w:type="spellStart"/>
            <w:r w:rsidRPr="000E3089">
              <w:rPr>
                <w:rFonts w:ascii="Arial" w:hAnsi="Arial" w:cs="Arial"/>
                <w:sz w:val="24"/>
                <w:szCs w:val="24"/>
              </w:rPr>
              <w:t>SoP</w:t>
            </w:r>
            <w:proofErr w:type="spellEnd"/>
            <w:r w:rsidRPr="000E3089">
              <w:rPr>
                <w:rFonts w:ascii="Arial" w:hAnsi="Arial" w:cs="Arial"/>
                <w:sz w:val="24"/>
                <w:szCs w:val="24"/>
              </w:rPr>
              <w:t xml:space="preserve"> prepared in consultations with NIC and </w:t>
            </w:r>
            <w:proofErr w:type="spellStart"/>
            <w:r w:rsidRPr="000E3089">
              <w:rPr>
                <w:rFonts w:ascii="Arial" w:hAnsi="Arial" w:cs="Arial"/>
                <w:sz w:val="24"/>
                <w:szCs w:val="24"/>
              </w:rPr>
              <w:t>eCommitee</w:t>
            </w:r>
            <w:proofErr w:type="spellEnd"/>
            <w:r w:rsidRPr="000E3089">
              <w:rPr>
                <w:rFonts w:ascii="Arial" w:hAnsi="Arial" w:cs="Arial"/>
                <w:sz w:val="24"/>
                <w:szCs w:val="24"/>
              </w:rPr>
              <w:t xml:space="preserve"> of the Supreme Court and the same has been issued. Tested successfully in Delhi and Mumbai Commercial Courts and </w:t>
            </w:r>
            <w:proofErr w:type="spellStart"/>
            <w:r w:rsidRPr="000E3089">
              <w:rPr>
                <w:rFonts w:ascii="Arial" w:hAnsi="Arial" w:cs="Arial"/>
                <w:sz w:val="24"/>
                <w:szCs w:val="24"/>
              </w:rPr>
              <w:t>operationalised</w:t>
            </w:r>
            <w:proofErr w:type="spellEnd"/>
            <w:r w:rsidRPr="000E3089">
              <w:rPr>
                <w:rFonts w:ascii="Arial" w:hAnsi="Arial" w:cs="Arial"/>
                <w:sz w:val="24"/>
                <w:szCs w:val="24"/>
              </w:rPr>
              <w:t>. Work on operationalizing e-summons in Kolkata and Bengaluru Commercial Courts is also being implemented by the respective High Courts.</w:t>
            </w:r>
          </w:p>
        </w:tc>
      </w:tr>
      <w:tr w:rsidR="000D424A" w:rsidRPr="000E3089" w:rsidTr="00D74FA6">
        <w:trPr>
          <w:trHeight w:val="414"/>
        </w:trPr>
        <w:tc>
          <w:tcPr>
            <w:tcW w:w="846" w:type="dxa"/>
          </w:tcPr>
          <w:p w:rsidR="000D424A" w:rsidRPr="000E3089" w:rsidRDefault="000D424A" w:rsidP="000E3089">
            <w:pPr>
              <w:pStyle w:val="ListParagraph"/>
              <w:numPr>
                <w:ilvl w:val="0"/>
                <w:numId w:val="1"/>
              </w:numPr>
              <w:spacing w:after="0" w:line="276" w:lineRule="auto"/>
              <w:jc w:val="both"/>
              <w:rPr>
                <w:rFonts w:ascii="Arial" w:hAnsi="Arial" w:cs="Arial"/>
                <w:sz w:val="24"/>
                <w:szCs w:val="24"/>
              </w:rPr>
            </w:pPr>
          </w:p>
        </w:tc>
        <w:tc>
          <w:tcPr>
            <w:tcW w:w="4536" w:type="dxa"/>
            <w:gridSpan w:val="3"/>
          </w:tcPr>
          <w:p w:rsidR="000D424A" w:rsidRPr="000E3089" w:rsidRDefault="000D424A" w:rsidP="000E3089">
            <w:pPr>
              <w:jc w:val="both"/>
              <w:rPr>
                <w:rFonts w:ascii="Arial" w:hAnsi="Arial" w:cs="Arial"/>
                <w:sz w:val="24"/>
                <w:szCs w:val="24"/>
              </w:rPr>
            </w:pPr>
            <w:r w:rsidRPr="000E3089">
              <w:rPr>
                <w:rFonts w:ascii="Arial" w:hAnsi="Arial" w:cs="Arial"/>
                <w:sz w:val="24"/>
                <w:szCs w:val="24"/>
              </w:rPr>
              <w:t xml:space="preserve">Launch </w:t>
            </w:r>
            <w:proofErr w:type="spellStart"/>
            <w:r w:rsidRPr="000E3089">
              <w:rPr>
                <w:rFonts w:ascii="Arial" w:hAnsi="Arial" w:cs="Arial"/>
                <w:sz w:val="24"/>
                <w:szCs w:val="24"/>
              </w:rPr>
              <w:t>iOS</w:t>
            </w:r>
            <w:proofErr w:type="spellEnd"/>
            <w:r w:rsidRPr="000E3089">
              <w:rPr>
                <w:rFonts w:ascii="Arial" w:hAnsi="Arial" w:cs="Arial"/>
                <w:sz w:val="24"/>
                <w:szCs w:val="24"/>
              </w:rPr>
              <w:t xml:space="preserve"> version of </w:t>
            </w:r>
            <w:proofErr w:type="spellStart"/>
            <w:r w:rsidRPr="000E3089">
              <w:rPr>
                <w:rFonts w:ascii="Arial" w:hAnsi="Arial" w:cs="Arial"/>
                <w:sz w:val="24"/>
                <w:szCs w:val="24"/>
              </w:rPr>
              <w:t>JustIS</w:t>
            </w:r>
            <w:proofErr w:type="spellEnd"/>
            <w:r w:rsidRPr="000E3089">
              <w:rPr>
                <w:rFonts w:ascii="Arial" w:hAnsi="Arial" w:cs="Arial"/>
                <w:sz w:val="24"/>
                <w:szCs w:val="24"/>
              </w:rPr>
              <w:t xml:space="preserve"> app for Judicial Officers.</w:t>
            </w:r>
          </w:p>
          <w:p w:rsidR="000D424A" w:rsidRPr="000E3089" w:rsidRDefault="000D424A" w:rsidP="000E3089">
            <w:pPr>
              <w:jc w:val="both"/>
              <w:rPr>
                <w:rFonts w:ascii="Arial" w:hAnsi="Arial" w:cs="Arial"/>
                <w:sz w:val="24"/>
                <w:szCs w:val="24"/>
              </w:rPr>
            </w:pPr>
          </w:p>
        </w:tc>
        <w:tc>
          <w:tcPr>
            <w:tcW w:w="4536" w:type="dxa"/>
          </w:tcPr>
          <w:p w:rsidR="000D424A" w:rsidRPr="000E3089" w:rsidRDefault="000D424A" w:rsidP="000E3089">
            <w:pPr>
              <w:jc w:val="both"/>
              <w:rPr>
                <w:rFonts w:ascii="Arial" w:hAnsi="Arial" w:cs="Arial"/>
                <w:sz w:val="24"/>
                <w:szCs w:val="24"/>
              </w:rPr>
            </w:pPr>
            <w:r w:rsidRPr="000E3089">
              <w:rPr>
                <w:rFonts w:ascii="Arial" w:hAnsi="Arial" w:cs="Arial"/>
                <w:sz w:val="24"/>
                <w:szCs w:val="24"/>
              </w:rPr>
              <w:t xml:space="preserve">The </w:t>
            </w:r>
            <w:proofErr w:type="spellStart"/>
            <w:r w:rsidRPr="000E3089">
              <w:rPr>
                <w:rFonts w:ascii="Arial" w:hAnsi="Arial" w:cs="Arial"/>
                <w:sz w:val="24"/>
                <w:szCs w:val="24"/>
              </w:rPr>
              <w:t>IoS</w:t>
            </w:r>
            <w:proofErr w:type="spellEnd"/>
            <w:r w:rsidRPr="000E3089">
              <w:rPr>
                <w:rFonts w:ascii="Arial" w:hAnsi="Arial" w:cs="Arial"/>
                <w:sz w:val="24"/>
                <w:szCs w:val="24"/>
              </w:rPr>
              <w:t xml:space="preserve"> version of </w:t>
            </w:r>
            <w:proofErr w:type="spellStart"/>
            <w:r w:rsidRPr="000E3089">
              <w:rPr>
                <w:rFonts w:ascii="Arial" w:hAnsi="Arial" w:cs="Arial"/>
                <w:sz w:val="24"/>
                <w:szCs w:val="24"/>
              </w:rPr>
              <w:t>JustIS</w:t>
            </w:r>
            <w:proofErr w:type="spellEnd"/>
            <w:r w:rsidRPr="000E3089">
              <w:rPr>
                <w:rFonts w:ascii="Arial" w:hAnsi="Arial" w:cs="Arial"/>
                <w:sz w:val="24"/>
                <w:szCs w:val="24"/>
              </w:rPr>
              <w:t xml:space="preserve"> app has been launched and is now available for download from the new </w:t>
            </w:r>
            <w:proofErr w:type="spellStart"/>
            <w:r w:rsidRPr="000E3089">
              <w:rPr>
                <w:rFonts w:ascii="Arial" w:hAnsi="Arial" w:cs="Arial"/>
                <w:sz w:val="24"/>
                <w:szCs w:val="24"/>
              </w:rPr>
              <w:t>JustIS</w:t>
            </w:r>
            <w:proofErr w:type="spellEnd"/>
            <w:r w:rsidRPr="000E3089">
              <w:rPr>
                <w:rFonts w:ascii="Arial" w:hAnsi="Arial" w:cs="Arial"/>
                <w:sz w:val="24"/>
                <w:szCs w:val="24"/>
              </w:rPr>
              <w:t xml:space="preserve"> download portal (https:/justis.ecourts.gov.in/</w:t>
            </w:r>
            <w:proofErr w:type="spellStart"/>
            <w:r w:rsidRPr="000E3089">
              <w:rPr>
                <w:rFonts w:ascii="Arial" w:hAnsi="Arial" w:cs="Arial"/>
                <w:sz w:val="24"/>
                <w:szCs w:val="24"/>
              </w:rPr>
              <w:t>appstore</w:t>
            </w:r>
            <w:proofErr w:type="spellEnd"/>
            <w:r w:rsidRPr="000E3089">
              <w:rPr>
                <w:rFonts w:ascii="Arial" w:hAnsi="Arial" w:cs="Arial"/>
                <w:sz w:val="24"/>
                <w:szCs w:val="24"/>
              </w:rPr>
              <w:t>/).  Detailed installation guide has also been issued by the e-committee of Supreme Court.</w:t>
            </w:r>
          </w:p>
        </w:tc>
      </w:tr>
      <w:tr w:rsidR="000D424A" w:rsidRPr="000E3089" w:rsidTr="00D74FA6">
        <w:trPr>
          <w:trHeight w:val="414"/>
        </w:trPr>
        <w:tc>
          <w:tcPr>
            <w:tcW w:w="846" w:type="dxa"/>
          </w:tcPr>
          <w:p w:rsidR="000D424A" w:rsidRPr="000E3089" w:rsidRDefault="000D424A" w:rsidP="000E3089">
            <w:pPr>
              <w:pStyle w:val="ListParagraph"/>
              <w:numPr>
                <w:ilvl w:val="0"/>
                <w:numId w:val="1"/>
              </w:numPr>
              <w:spacing w:after="0" w:line="276" w:lineRule="auto"/>
              <w:jc w:val="both"/>
              <w:rPr>
                <w:rFonts w:ascii="Arial" w:hAnsi="Arial" w:cs="Arial"/>
                <w:sz w:val="24"/>
                <w:szCs w:val="24"/>
              </w:rPr>
            </w:pPr>
          </w:p>
        </w:tc>
        <w:tc>
          <w:tcPr>
            <w:tcW w:w="4536" w:type="dxa"/>
            <w:gridSpan w:val="3"/>
          </w:tcPr>
          <w:p w:rsidR="000D424A" w:rsidRPr="000E3089" w:rsidRDefault="000D424A" w:rsidP="000E3089">
            <w:pPr>
              <w:jc w:val="both"/>
              <w:rPr>
                <w:rFonts w:ascii="Arial" w:hAnsi="Arial" w:cs="Arial"/>
                <w:sz w:val="24"/>
                <w:szCs w:val="24"/>
              </w:rPr>
            </w:pPr>
            <w:r w:rsidRPr="000E3089">
              <w:rPr>
                <w:rFonts w:ascii="Arial" w:hAnsi="Arial" w:cs="Arial"/>
                <w:sz w:val="24"/>
                <w:szCs w:val="24"/>
              </w:rPr>
              <w:t>Bombay HC to review the numerical adequacy of Dedicated Commercial Courts in Mumbai.</w:t>
            </w:r>
          </w:p>
          <w:p w:rsidR="000D424A" w:rsidRPr="000E3089" w:rsidRDefault="000D424A" w:rsidP="000E3089">
            <w:pPr>
              <w:jc w:val="both"/>
              <w:rPr>
                <w:rFonts w:ascii="Arial" w:hAnsi="Arial" w:cs="Arial"/>
                <w:sz w:val="24"/>
                <w:szCs w:val="24"/>
              </w:rPr>
            </w:pPr>
          </w:p>
        </w:tc>
        <w:tc>
          <w:tcPr>
            <w:tcW w:w="4536" w:type="dxa"/>
          </w:tcPr>
          <w:p w:rsidR="000D424A" w:rsidRPr="000E3089" w:rsidRDefault="000D424A" w:rsidP="000E3089">
            <w:pPr>
              <w:jc w:val="both"/>
              <w:rPr>
                <w:rFonts w:ascii="Arial" w:hAnsi="Arial" w:cs="Arial"/>
                <w:sz w:val="24"/>
                <w:szCs w:val="24"/>
              </w:rPr>
            </w:pPr>
            <w:r w:rsidRPr="000E3089">
              <w:rPr>
                <w:rFonts w:ascii="Arial" w:hAnsi="Arial" w:cs="Arial"/>
                <w:sz w:val="24"/>
                <w:szCs w:val="24"/>
              </w:rPr>
              <w:t xml:space="preserve">Bombay High Court has reviewed the adequacy and 2 new courts have been </w:t>
            </w:r>
            <w:proofErr w:type="spellStart"/>
            <w:r w:rsidR="005C70BC" w:rsidRPr="000E3089">
              <w:rPr>
                <w:rFonts w:ascii="Arial" w:hAnsi="Arial" w:cs="Arial"/>
                <w:sz w:val="24"/>
                <w:szCs w:val="24"/>
              </w:rPr>
              <w:t>operationalised</w:t>
            </w:r>
            <w:proofErr w:type="spellEnd"/>
            <w:r w:rsidR="005C70BC" w:rsidRPr="000E3089">
              <w:rPr>
                <w:rFonts w:ascii="Arial" w:hAnsi="Arial" w:cs="Arial"/>
                <w:sz w:val="24"/>
                <w:szCs w:val="24"/>
              </w:rPr>
              <w:t xml:space="preserve"> on 05.07.2021</w:t>
            </w:r>
            <w:r w:rsidRPr="000E3089">
              <w:rPr>
                <w:rFonts w:ascii="Arial" w:hAnsi="Arial" w:cs="Arial"/>
                <w:sz w:val="24"/>
                <w:szCs w:val="24"/>
              </w:rPr>
              <w:t>.</w:t>
            </w:r>
          </w:p>
        </w:tc>
      </w:tr>
    </w:tbl>
    <w:p w:rsidR="000E3089" w:rsidRPr="000E3089" w:rsidRDefault="000E3089" w:rsidP="000E3089">
      <w:pPr>
        <w:spacing w:after="0"/>
        <w:rPr>
          <w:rFonts w:ascii="Arial" w:hAnsi="Arial" w:cs="Arial"/>
          <w:sz w:val="24"/>
          <w:szCs w:val="24"/>
        </w:rPr>
      </w:pPr>
    </w:p>
    <w:p w:rsidR="000E3089" w:rsidRPr="000E3089" w:rsidRDefault="000E3089" w:rsidP="000E3089">
      <w:pPr>
        <w:spacing w:after="0"/>
        <w:rPr>
          <w:rFonts w:ascii="Arial" w:hAnsi="Arial" w:cs="Arial"/>
          <w:sz w:val="24"/>
          <w:szCs w:val="24"/>
        </w:rPr>
      </w:pPr>
    </w:p>
    <w:p w:rsidR="000D424A" w:rsidRPr="000E3089" w:rsidRDefault="000D424A" w:rsidP="000E3089">
      <w:pPr>
        <w:pStyle w:val="ListParagraph"/>
        <w:numPr>
          <w:ilvl w:val="0"/>
          <w:numId w:val="2"/>
        </w:numPr>
        <w:spacing w:line="276" w:lineRule="auto"/>
        <w:rPr>
          <w:rFonts w:ascii="Arial" w:hAnsi="Arial" w:cs="Arial"/>
          <w:sz w:val="24"/>
          <w:szCs w:val="24"/>
        </w:rPr>
      </w:pPr>
      <w:r w:rsidRPr="000E3089">
        <w:rPr>
          <w:rFonts w:ascii="Arial" w:hAnsi="Arial" w:cs="Arial"/>
          <w:b/>
          <w:sz w:val="24"/>
          <w:szCs w:val="24"/>
        </w:rPr>
        <w:t>Ongoing Activities under Phase II</w:t>
      </w:r>
    </w:p>
    <w:tbl>
      <w:tblPr>
        <w:tblStyle w:val="TableGrid"/>
        <w:tblW w:w="9493" w:type="dxa"/>
        <w:tblLayout w:type="fixed"/>
        <w:tblLook w:val="04A0"/>
      </w:tblPr>
      <w:tblGrid>
        <w:gridCol w:w="770"/>
        <w:gridCol w:w="4187"/>
        <w:gridCol w:w="4536"/>
      </w:tblGrid>
      <w:tr w:rsidR="000D424A" w:rsidRPr="000E3089" w:rsidTr="00D74FA6">
        <w:trPr>
          <w:trHeight w:val="829"/>
        </w:trPr>
        <w:tc>
          <w:tcPr>
            <w:tcW w:w="770" w:type="dxa"/>
          </w:tcPr>
          <w:p w:rsidR="000D424A" w:rsidRPr="000E3089" w:rsidRDefault="000D424A" w:rsidP="000E3089">
            <w:pPr>
              <w:jc w:val="center"/>
              <w:rPr>
                <w:rFonts w:ascii="Arial" w:hAnsi="Arial" w:cs="Arial"/>
                <w:b/>
                <w:sz w:val="24"/>
                <w:szCs w:val="24"/>
              </w:rPr>
            </w:pPr>
            <w:r w:rsidRPr="000E3089">
              <w:rPr>
                <w:rFonts w:ascii="Arial" w:hAnsi="Arial" w:cs="Arial"/>
                <w:b/>
                <w:sz w:val="24"/>
                <w:szCs w:val="24"/>
              </w:rPr>
              <w:t>Sl. No.</w:t>
            </w:r>
          </w:p>
        </w:tc>
        <w:tc>
          <w:tcPr>
            <w:tcW w:w="4187" w:type="dxa"/>
          </w:tcPr>
          <w:p w:rsidR="000D424A" w:rsidRPr="000E3089" w:rsidRDefault="000D424A" w:rsidP="000E3089">
            <w:pPr>
              <w:jc w:val="center"/>
              <w:rPr>
                <w:rFonts w:ascii="Arial" w:hAnsi="Arial" w:cs="Arial"/>
                <w:b/>
                <w:sz w:val="24"/>
                <w:szCs w:val="24"/>
              </w:rPr>
            </w:pPr>
            <w:r w:rsidRPr="000E3089">
              <w:rPr>
                <w:rFonts w:ascii="Arial" w:hAnsi="Arial" w:cs="Arial"/>
                <w:b/>
                <w:sz w:val="24"/>
                <w:szCs w:val="24"/>
              </w:rPr>
              <w:t>Phase-II(15.8.2021)</w:t>
            </w:r>
          </w:p>
        </w:tc>
        <w:tc>
          <w:tcPr>
            <w:tcW w:w="4536" w:type="dxa"/>
          </w:tcPr>
          <w:p w:rsidR="000D424A" w:rsidRPr="000E3089" w:rsidRDefault="000D424A" w:rsidP="000E3089">
            <w:pPr>
              <w:jc w:val="center"/>
              <w:rPr>
                <w:rFonts w:ascii="Arial" w:hAnsi="Arial" w:cs="Arial"/>
                <w:b/>
                <w:sz w:val="24"/>
                <w:szCs w:val="24"/>
              </w:rPr>
            </w:pPr>
            <w:r w:rsidRPr="000E3089">
              <w:rPr>
                <w:rFonts w:ascii="Arial" w:hAnsi="Arial" w:cs="Arial"/>
                <w:b/>
                <w:sz w:val="24"/>
                <w:szCs w:val="24"/>
              </w:rPr>
              <w:t xml:space="preserve">Status </w:t>
            </w:r>
          </w:p>
        </w:tc>
      </w:tr>
      <w:tr w:rsidR="000D424A" w:rsidRPr="000E3089" w:rsidTr="00D74FA6">
        <w:trPr>
          <w:trHeight w:val="414"/>
        </w:trPr>
        <w:tc>
          <w:tcPr>
            <w:tcW w:w="770" w:type="dxa"/>
          </w:tcPr>
          <w:p w:rsidR="000D424A" w:rsidRPr="000E3089" w:rsidRDefault="000D424A" w:rsidP="000E3089">
            <w:pPr>
              <w:pStyle w:val="ListParagraph"/>
              <w:numPr>
                <w:ilvl w:val="0"/>
                <w:numId w:val="3"/>
              </w:numPr>
              <w:spacing w:after="0" w:line="276" w:lineRule="auto"/>
              <w:jc w:val="both"/>
              <w:rPr>
                <w:rFonts w:ascii="Arial" w:hAnsi="Arial" w:cs="Arial"/>
                <w:sz w:val="24"/>
                <w:szCs w:val="24"/>
              </w:rPr>
            </w:pPr>
          </w:p>
        </w:tc>
        <w:tc>
          <w:tcPr>
            <w:tcW w:w="4187" w:type="dxa"/>
          </w:tcPr>
          <w:p w:rsidR="000D424A" w:rsidRPr="000E3089" w:rsidRDefault="000D424A" w:rsidP="000E3089">
            <w:pPr>
              <w:jc w:val="both"/>
              <w:rPr>
                <w:rFonts w:ascii="Arial" w:hAnsi="Arial" w:cs="Arial"/>
                <w:sz w:val="24"/>
                <w:szCs w:val="24"/>
              </w:rPr>
            </w:pPr>
            <w:r w:rsidRPr="000E3089">
              <w:rPr>
                <w:rFonts w:ascii="Arial" w:hAnsi="Arial" w:cs="Arial"/>
                <w:sz w:val="24"/>
                <w:szCs w:val="24"/>
              </w:rPr>
              <w:t>Simplification of Rules and Forms relating to Pre-Institution Mediation and Settlement including rationalization of mediation fees.</w:t>
            </w:r>
          </w:p>
        </w:tc>
        <w:tc>
          <w:tcPr>
            <w:tcW w:w="4536" w:type="dxa"/>
          </w:tcPr>
          <w:p w:rsidR="000E3089" w:rsidRPr="000E3089" w:rsidRDefault="000E3089" w:rsidP="000E3089">
            <w:pPr>
              <w:jc w:val="both"/>
              <w:rPr>
                <w:rFonts w:ascii="Arial" w:hAnsi="Arial" w:cs="Arial"/>
                <w:sz w:val="24"/>
                <w:szCs w:val="24"/>
              </w:rPr>
            </w:pPr>
            <w:r w:rsidRPr="000E3089">
              <w:rPr>
                <w:rFonts w:ascii="Arial" w:hAnsi="Arial" w:cs="Arial"/>
                <w:sz w:val="24"/>
                <w:szCs w:val="24"/>
              </w:rPr>
              <w:t xml:space="preserve">The Commercial Courts Act, 2015 was enacted to promote faster resolution of commercial disputes and is administered by the Department of Legal Affairs. </w:t>
            </w:r>
          </w:p>
          <w:p w:rsidR="000E3089" w:rsidRPr="000E3089" w:rsidRDefault="000E3089" w:rsidP="000E3089">
            <w:pPr>
              <w:jc w:val="both"/>
              <w:rPr>
                <w:rFonts w:ascii="Arial" w:hAnsi="Arial" w:cs="Arial"/>
                <w:sz w:val="24"/>
                <w:szCs w:val="24"/>
              </w:rPr>
            </w:pPr>
            <w:r w:rsidRPr="000E3089">
              <w:rPr>
                <w:rFonts w:ascii="Arial" w:hAnsi="Arial" w:cs="Arial"/>
                <w:sz w:val="24"/>
                <w:szCs w:val="24"/>
              </w:rPr>
              <w:t xml:space="preserve">The draft Commercial Court Rules have already been drawn and forwarded to </w:t>
            </w:r>
            <w:proofErr w:type="spellStart"/>
            <w:r w:rsidRPr="000E3089">
              <w:rPr>
                <w:rFonts w:ascii="Arial" w:hAnsi="Arial" w:cs="Arial"/>
                <w:sz w:val="24"/>
                <w:szCs w:val="24"/>
              </w:rPr>
              <w:lastRenderedPageBreak/>
              <w:t>DoLA</w:t>
            </w:r>
            <w:proofErr w:type="spellEnd"/>
            <w:r w:rsidRPr="000E3089">
              <w:rPr>
                <w:rFonts w:ascii="Arial" w:hAnsi="Arial" w:cs="Arial"/>
                <w:sz w:val="24"/>
                <w:szCs w:val="24"/>
              </w:rPr>
              <w:t>.</w:t>
            </w:r>
          </w:p>
          <w:p w:rsidR="000E3089" w:rsidRPr="000E3089" w:rsidRDefault="000E3089" w:rsidP="000E3089">
            <w:pPr>
              <w:jc w:val="both"/>
              <w:rPr>
                <w:rFonts w:ascii="Arial" w:hAnsi="Arial" w:cs="Arial"/>
                <w:sz w:val="24"/>
                <w:szCs w:val="24"/>
              </w:rPr>
            </w:pPr>
            <w:proofErr w:type="spellStart"/>
            <w:r w:rsidRPr="000E3089">
              <w:rPr>
                <w:rFonts w:ascii="Arial" w:hAnsi="Arial" w:cs="Arial"/>
                <w:sz w:val="24"/>
                <w:szCs w:val="24"/>
              </w:rPr>
              <w:t>DoLA</w:t>
            </w:r>
            <w:proofErr w:type="spellEnd"/>
            <w:r w:rsidRPr="000E3089">
              <w:rPr>
                <w:rFonts w:ascii="Arial" w:hAnsi="Arial" w:cs="Arial"/>
                <w:sz w:val="24"/>
                <w:szCs w:val="24"/>
              </w:rPr>
              <w:t xml:space="preserve"> has informed that some rules are not within powers vested with the executive.</w:t>
            </w:r>
          </w:p>
          <w:p w:rsidR="000E3089" w:rsidRPr="000E3089" w:rsidRDefault="000E3089" w:rsidP="000E3089">
            <w:pPr>
              <w:jc w:val="both"/>
              <w:rPr>
                <w:rFonts w:ascii="Arial" w:hAnsi="Arial" w:cs="Arial"/>
                <w:sz w:val="24"/>
                <w:szCs w:val="24"/>
              </w:rPr>
            </w:pPr>
            <w:proofErr w:type="spellStart"/>
            <w:r w:rsidRPr="000E3089">
              <w:rPr>
                <w:rFonts w:ascii="Arial" w:hAnsi="Arial" w:cs="Arial"/>
                <w:sz w:val="24"/>
                <w:szCs w:val="24"/>
              </w:rPr>
              <w:t>DoLA</w:t>
            </w:r>
            <w:proofErr w:type="spellEnd"/>
            <w:r w:rsidRPr="000E3089">
              <w:rPr>
                <w:rFonts w:ascii="Arial" w:hAnsi="Arial" w:cs="Arial"/>
                <w:sz w:val="24"/>
                <w:szCs w:val="24"/>
              </w:rPr>
              <w:t xml:space="preserve"> have been requested to further examine and suggest a way forward.</w:t>
            </w:r>
          </w:p>
          <w:p w:rsidR="000D424A" w:rsidRPr="000E3089" w:rsidRDefault="000D424A" w:rsidP="000E3089">
            <w:pPr>
              <w:jc w:val="both"/>
              <w:rPr>
                <w:rFonts w:ascii="Arial" w:hAnsi="Arial" w:cs="Arial"/>
                <w:sz w:val="24"/>
                <w:szCs w:val="24"/>
              </w:rPr>
            </w:pPr>
            <w:r w:rsidRPr="000E3089">
              <w:rPr>
                <w:rFonts w:ascii="Arial" w:hAnsi="Arial" w:cs="Arial"/>
                <w:sz w:val="24"/>
                <w:szCs w:val="24"/>
              </w:rPr>
              <w:t xml:space="preserve">Once the draft rules have been examined, the same will be shared with NITI </w:t>
            </w:r>
            <w:proofErr w:type="spellStart"/>
            <w:r w:rsidRPr="000E3089">
              <w:rPr>
                <w:rFonts w:ascii="Arial" w:hAnsi="Arial" w:cs="Arial"/>
                <w:sz w:val="24"/>
                <w:szCs w:val="24"/>
              </w:rPr>
              <w:t>Aayog</w:t>
            </w:r>
            <w:proofErr w:type="spellEnd"/>
            <w:r w:rsidRPr="000E3089">
              <w:rPr>
                <w:rFonts w:ascii="Arial" w:hAnsi="Arial" w:cs="Arial"/>
                <w:sz w:val="24"/>
                <w:szCs w:val="24"/>
              </w:rPr>
              <w:t xml:space="preserve"> Constituted Task Force on </w:t>
            </w:r>
            <w:r w:rsidRPr="000E3089">
              <w:rPr>
                <w:rFonts w:ascii="Arial" w:hAnsi="Arial" w:cs="Arial"/>
                <w:b/>
                <w:i/>
                <w:sz w:val="24"/>
                <w:szCs w:val="24"/>
              </w:rPr>
              <w:t>Enforcing Contracts</w:t>
            </w:r>
            <w:r w:rsidRPr="000E3089">
              <w:rPr>
                <w:rFonts w:ascii="Arial" w:hAnsi="Arial" w:cs="Arial"/>
                <w:sz w:val="24"/>
                <w:szCs w:val="24"/>
              </w:rPr>
              <w:t>, for further discussions.</w:t>
            </w:r>
          </w:p>
        </w:tc>
      </w:tr>
      <w:tr w:rsidR="000D424A" w:rsidRPr="000E3089" w:rsidTr="000E3089">
        <w:trPr>
          <w:trHeight w:val="4508"/>
        </w:trPr>
        <w:tc>
          <w:tcPr>
            <w:tcW w:w="770" w:type="dxa"/>
          </w:tcPr>
          <w:p w:rsidR="000D424A" w:rsidRPr="000E3089" w:rsidRDefault="000D424A" w:rsidP="000E3089">
            <w:pPr>
              <w:pStyle w:val="ListParagraph"/>
              <w:numPr>
                <w:ilvl w:val="0"/>
                <w:numId w:val="3"/>
              </w:numPr>
              <w:spacing w:after="0" w:line="276" w:lineRule="auto"/>
              <w:jc w:val="both"/>
              <w:rPr>
                <w:rFonts w:ascii="Arial" w:hAnsi="Arial" w:cs="Arial"/>
                <w:sz w:val="24"/>
                <w:szCs w:val="24"/>
              </w:rPr>
            </w:pPr>
            <w:r w:rsidRPr="000E3089">
              <w:rPr>
                <w:rFonts w:ascii="Arial" w:hAnsi="Arial" w:cs="Arial"/>
                <w:sz w:val="24"/>
                <w:szCs w:val="24"/>
              </w:rPr>
              <w:lastRenderedPageBreak/>
              <w:t>2</w:t>
            </w:r>
          </w:p>
        </w:tc>
        <w:tc>
          <w:tcPr>
            <w:tcW w:w="4187" w:type="dxa"/>
          </w:tcPr>
          <w:p w:rsidR="000D424A" w:rsidRPr="000E3089" w:rsidRDefault="000D424A" w:rsidP="000E3089">
            <w:pPr>
              <w:jc w:val="both"/>
              <w:rPr>
                <w:rFonts w:ascii="Arial" w:hAnsi="Arial" w:cs="Arial"/>
                <w:sz w:val="24"/>
                <w:szCs w:val="24"/>
              </w:rPr>
            </w:pPr>
            <w:r w:rsidRPr="000E3089">
              <w:rPr>
                <w:rFonts w:ascii="Arial" w:hAnsi="Arial" w:cs="Arial"/>
                <w:sz w:val="24"/>
                <w:szCs w:val="24"/>
              </w:rPr>
              <w:t xml:space="preserve">Operationalization of 42 New Dedicated Commercial Courts in Delhi for which posts of Judicial Officers has been sanctioned by the Delhi Govt. </w:t>
            </w:r>
          </w:p>
        </w:tc>
        <w:tc>
          <w:tcPr>
            <w:tcW w:w="4536" w:type="dxa"/>
          </w:tcPr>
          <w:p w:rsidR="000E3089" w:rsidRPr="000E3089" w:rsidRDefault="000E3089" w:rsidP="000E3089">
            <w:pPr>
              <w:jc w:val="both"/>
              <w:rPr>
                <w:rFonts w:ascii="Arial" w:hAnsi="Arial" w:cs="Arial"/>
                <w:sz w:val="24"/>
                <w:szCs w:val="24"/>
              </w:rPr>
            </w:pPr>
            <w:r w:rsidRPr="000E3089">
              <w:rPr>
                <w:rFonts w:ascii="Arial" w:hAnsi="Arial" w:cs="Arial"/>
                <w:sz w:val="24"/>
                <w:szCs w:val="24"/>
              </w:rPr>
              <w:t xml:space="preserve">Delhi Government has issued notification amending the Schedule for Delhi Higher Judicial Services. </w:t>
            </w:r>
          </w:p>
          <w:p w:rsidR="000E3089" w:rsidRPr="000E3089" w:rsidRDefault="000E3089" w:rsidP="000E3089">
            <w:pPr>
              <w:jc w:val="both"/>
              <w:rPr>
                <w:rFonts w:ascii="Arial" w:hAnsi="Arial" w:cs="Arial"/>
                <w:sz w:val="24"/>
                <w:szCs w:val="24"/>
              </w:rPr>
            </w:pPr>
            <w:r w:rsidRPr="000E3089">
              <w:rPr>
                <w:rFonts w:ascii="Arial" w:hAnsi="Arial" w:cs="Arial"/>
                <w:sz w:val="24"/>
                <w:szCs w:val="24"/>
              </w:rPr>
              <w:t xml:space="preserve">Delhi HC has informed that construction of 144 temporary court rooms in the existing Court complexes of </w:t>
            </w:r>
            <w:proofErr w:type="spellStart"/>
            <w:r w:rsidRPr="000E3089">
              <w:rPr>
                <w:rFonts w:ascii="Arial" w:hAnsi="Arial" w:cs="Arial"/>
                <w:sz w:val="24"/>
                <w:szCs w:val="24"/>
              </w:rPr>
              <w:t>Tis</w:t>
            </w:r>
            <w:proofErr w:type="spellEnd"/>
            <w:r w:rsidRPr="000E3089">
              <w:rPr>
                <w:rFonts w:ascii="Arial" w:hAnsi="Arial" w:cs="Arial"/>
                <w:sz w:val="24"/>
                <w:szCs w:val="24"/>
              </w:rPr>
              <w:t xml:space="preserve"> </w:t>
            </w:r>
            <w:proofErr w:type="spellStart"/>
            <w:r w:rsidRPr="000E3089">
              <w:rPr>
                <w:rFonts w:ascii="Arial" w:hAnsi="Arial" w:cs="Arial"/>
                <w:sz w:val="24"/>
                <w:szCs w:val="24"/>
              </w:rPr>
              <w:t>Hazari</w:t>
            </w:r>
            <w:proofErr w:type="spellEnd"/>
            <w:r w:rsidRPr="000E3089">
              <w:rPr>
                <w:rFonts w:ascii="Arial" w:hAnsi="Arial" w:cs="Arial"/>
                <w:sz w:val="24"/>
                <w:szCs w:val="24"/>
              </w:rPr>
              <w:t xml:space="preserve">, </w:t>
            </w:r>
            <w:proofErr w:type="spellStart"/>
            <w:r w:rsidRPr="000E3089">
              <w:rPr>
                <w:rFonts w:ascii="Arial" w:hAnsi="Arial" w:cs="Arial"/>
                <w:sz w:val="24"/>
                <w:szCs w:val="24"/>
              </w:rPr>
              <w:t>Karkardooma</w:t>
            </w:r>
            <w:proofErr w:type="spellEnd"/>
            <w:r w:rsidRPr="000E3089">
              <w:rPr>
                <w:rFonts w:ascii="Arial" w:hAnsi="Arial" w:cs="Arial"/>
                <w:sz w:val="24"/>
                <w:szCs w:val="24"/>
              </w:rPr>
              <w:t xml:space="preserve"> and </w:t>
            </w:r>
            <w:proofErr w:type="spellStart"/>
            <w:r w:rsidRPr="000E3089">
              <w:rPr>
                <w:rFonts w:ascii="Arial" w:hAnsi="Arial" w:cs="Arial"/>
                <w:sz w:val="24"/>
                <w:szCs w:val="24"/>
              </w:rPr>
              <w:t>Saket</w:t>
            </w:r>
            <w:proofErr w:type="spellEnd"/>
            <w:r w:rsidRPr="000E3089">
              <w:rPr>
                <w:rFonts w:ascii="Arial" w:hAnsi="Arial" w:cs="Arial"/>
                <w:sz w:val="24"/>
                <w:szCs w:val="24"/>
              </w:rPr>
              <w:t xml:space="preserve"> is in advance stage. </w:t>
            </w:r>
          </w:p>
          <w:p w:rsidR="000E3089" w:rsidRPr="000E3089" w:rsidRDefault="000E3089" w:rsidP="000E3089">
            <w:pPr>
              <w:jc w:val="both"/>
              <w:rPr>
                <w:rFonts w:ascii="Arial" w:hAnsi="Arial" w:cs="Arial"/>
                <w:sz w:val="24"/>
                <w:szCs w:val="24"/>
              </w:rPr>
            </w:pPr>
            <w:r w:rsidRPr="000E3089">
              <w:rPr>
                <w:rFonts w:ascii="Arial" w:hAnsi="Arial" w:cs="Arial"/>
                <w:sz w:val="24"/>
                <w:szCs w:val="24"/>
              </w:rPr>
              <w:t>The process of appointment of Judges and staff is being fast-tracked.</w:t>
            </w:r>
          </w:p>
          <w:p w:rsidR="000D424A" w:rsidRPr="000E3089" w:rsidRDefault="000E3089" w:rsidP="000E3089">
            <w:pPr>
              <w:jc w:val="both"/>
              <w:rPr>
                <w:rFonts w:ascii="Arial" w:hAnsi="Arial" w:cs="Arial"/>
                <w:sz w:val="24"/>
                <w:szCs w:val="24"/>
              </w:rPr>
            </w:pPr>
            <w:r w:rsidRPr="000E3089">
              <w:rPr>
                <w:rFonts w:ascii="Arial" w:hAnsi="Arial" w:cs="Arial"/>
                <w:sz w:val="24"/>
                <w:szCs w:val="24"/>
              </w:rPr>
              <w:t xml:space="preserve"> Expected date of making some of the Courts functional – end March 2022. </w:t>
            </w:r>
          </w:p>
        </w:tc>
      </w:tr>
      <w:tr w:rsidR="000D424A" w:rsidRPr="000E3089" w:rsidTr="00D74FA6">
        <w:trPr>
          <w:trHeight w:val="414"/>
        </w:trPr>
        <w:tc>
          <w:tcPr>
            <w:tcW w:w="770" w:type="dxa"/>
          </w:tcPr>
          <w:p w:rsidR="000D424A" w:rsidRPr="000E3089" w:rsidRDefault="000D424A" w:rsidP="000E3089">
            <w:pPr>
              <w:pStyle w:val="ListParagraph"/>
              <w:numPr>
                <w:ilvl w:val="0"/>
                <w:numId w:val="3"/>
              </w:numPr>
              <w:spacing w:after="0" w:line="276" w:lineRule="auto"/>
              <w:jc w:val="both"/>
              <w:rPr>
                <w:rFonts w:ascii="Arial" w:hAnsi="Arial" w:cs="Arial"/>
                <w:sz w:val="24"/>
                <w:szCs w:val="24"/>
              </w:rPr>
            </w:pPr>
          </w:p>
        </w:tc>
        <w:tc>
          <w:tcPr>
            <w:tcW w:w="4187" w:type="dxa"/>
          </w:tcPr>
          <w:p w:rsidR="000D424A" w:rsidRPr="000E3089" w:rsidRDefault="000D424A" w:rsidP="000E3089">
            <w:pPr>
              <w:jc w:val="both"/>
              <w:rPr>
                <w:rFonts w:ascii="Arial" w:hAnsi="Arial" w:cs="Arial"/>
                <w:sz w:val="24"/>
                <w:szCs w:val="24"/>
              </w:rPr>
            </w:pPr>
            <w:r w:rsidRPr="000E3089">
              <w:rPr>
                <w:rFonts w:ascii="Arial" w:hAnsi="Arial" w:cs="Arial"/>
                <w:sz w:val="24"/>
                <w:szCs w:val="24"/>
              </w:rPr>
              <w:t>Operationalization of 2 New Dedicated Commercial Courts in Kolkata.</w:t>
            </w:r>
          </w:p>
          <w:p w:rsidR="000D424A" w:rsidRPr="000E3089" w:rsidRDefault="000D424A" w:rsidP="000E3089">
            <w:pPr>
              <w:jc w:val="both"/>
              <w:rPr>
                <w:rFonts w:ascii="Arial" w:hAnsi="Arial" w:cs="Arial"/>
                <w:sz w:val="24"/>
                <w:szCs w:val="24"/>
              </w:rPr>
            </w:pPr>
          </w:p>
        </w:tc>
        <w:tc>
          <w:tcPr>
            <w:tcW w:w="4536" w:type="dxa"/>
          </w:tcPr>
          <w:p w:rsidR="000E3089" w:rsidRPr="000E3089" w:rsidRDefault="000E3089" w:rsidP="000E3089">
            <w:pPr>
              <w:jc w:val="both"/>
              <w:rPr>
                <w:rFonts w:ascii="Arial" w:hAnsi="Arial" w:cs="Arial"/>
                <w:sz w:val="24"/>
                <w:szCs w:val="24"/>
              </w:rPr>
            </w:pPr>
            <w:r w:rsidRPr="000E3089">
              <w:rPr>
                <w:rFonts w:ascii="Arial" w:hAnsi="Arial" w:cs="Arial"/>
                <w:sz w:val="24"/>
                <w:szCs w:val="24"/>
              </w:rPr>
              <w:t xml:space="preserve">Construction has been completed. </w:t>
            </w:r>
          </w:p>
          <w:p w:rsidR="000E3089" w:rsidRPr="000E3089" w:rsidRDefault="000E3089" w:rsidP="000E3089">
            <w:pPr>
              <w:jc w:val="both"/>
              <w:rPr>
                <w:rFonts w:ascii="Arial" w:hAnsi="Arial" w:cs="Arial"/>
                <w:sz w:val="24"/>
                <w:szCs w:val="24"/>
              </w:rPr>
            </w:pPr>
            <w:r w:rsidRPr="000E3089">
              <w:rPr>
                <w:rFonts w:ascii="Arial" w:hAnsi="Arial" w:cs="Arial"/>
                <w:sz w:val="24"/>
                <w:szCs w:val="24"/>
              </w:rPr>
              <w:t xml:space="preserve">MSME, West Bengal has handed over </w:t>
            </w:r>
            <w:proofErr w:type="gramStart"/>
            <w:r w:rsidRPr="000E3089">
              <w:rPr>
                <w:rFonts w:ascii="Arial" w:hAnsi="Arial" w:cs="Arial"/>
                <w:sz w:val="24"/>
                <w:szCs w:val="24"/>
              </w:rPr>
              <w:t>the  completed</w:t>
            </w:r>
            <w:proofErr w:type="gramEnd"/>
            <w:r w:rsidRPr="000E3089">
              <w:rPr>
                <w:rFonts w:ascii="Arial" w:hAnsi="Arial" w:cs="Arial"/>
                <w:sz w:val="24"/>
                <w:szCs w:val="24"/>
              </w:rPr>
              <w:t xml:space="preserve"> building to the City Civil Court, Kolkata. </w:t>
            </w:r>
          </w:p>
          <w:p w:rsidR="000E3089" w:rsidRPr="000E3089" w:rsidRDefault="000E3089" w:rsidP="000E3089">
            <w:pPr>
              <w:jc w:val="both"/>
              <w:rPr>
                <w:rFonts w:ascii="Arial" w:hAnsi="Arial" w:cs="Arial"/>
                <w:sz w:val="24"/>
                <w:szCs w:val="24"/>
              </w:rPr>
            </w:pPr>
            <w:r w:rsidRPr="000E3089">
              <w:rPr>
                <w:rFonts w:ascii="Arial" w:hAnsi="Arial" w:cs="Arial"/>
                <w:sz w:val="24"/>
                <w:szCs w:val="24"/>
              </w:rPr>
              <w:t xml:space="preserve">The staff recruitment process for the notified Commercial Courts has also commenced. </w:t>
            </w:r>
          </w:p>
          <w:p w:rsidR="000D424A" w:rsidRPr="000E3089" w:rsidRDefault="000E3089" w:rsidP="000E3089">
            <w:pPr>
              <w:jc w:val="both"/>
              <w:rPr>
                <w:rFonts w:ascii="Arial" w:hAnsi="Arial" w:cs="Arial"/>
                <w:sz w:val="24"/>
                <w:szCs w:val="24"/>
              </w:rPr>
            </w:pPr>
            <w:r w:rsidRPr="000E3089">
              <w:rPr>
                <w:rFonts w:ascii="Arial" w:hAnsi="Arial" w:cs="Arial"/>
                <w:sz w:val="24"/>
                <w:szCs w:val="24"/>
              </w:rPr>
              <w:t xml:space="preserve">Calcutta HC has informed that the </w:t>
            </w:r>
            <w:proofErr w:type="spellStart"/>
            <w:r w:rsidRPr="000E3089">
              <w:rPr>
                <w:rFonts w:ascii="Arial" w:hAnsi="Arial" w:cs="Arial"/>
                <w:sz w:val="24"/>
                <w:szCs w:val="24"/>
              </w:rPr>
              <w:t>operationalization</w:t>
            </w:r>
            <w:proofErr w:type="spellEnd"/>
            <w:r w:rsidRPr="000E3089">
              <w:rPr>
                <w:rFonts w:ascii="Arial" w:hAnsi="Arial" w:cs="Arial"/>
                <w:sz w:val="24"/>
                <w:szCs w:val="24"/>
              </w:rPr>
              <w:t xml:space="preserve"> and inauguration of the Building is awaiting the kind consideration of the concerned </w:t>
            </w:r>
            <w:proofErr w:type="spellStart"/>
            <w:r w:rsidRPr="000E3089">
              <w:rPr>
                <w:rFonts w:ascii="Arial" w:hAnsi="Arial" w:cs="Arial"/>
                <w:sz w:val="24"/>
                <w:szCs w:val="24"/>
              </w:rPr>
              <w:t>Hon’ble</w:t>
            </w:r>
            <w:proofErr w:type="spellEnd"/>
            <w:r w:rsidRPr="000E3089">
              <w:rPr>
                <w:rFonts w:ascii="Arial" w:hAnsi="Arial" w:cs="Arial"/>
                <w:sz w:val="24"/>
                <w:szCs w:val="24"/>
              </w:rPr>
              <w:t xml:space="preserve"> Committee.</w:t>
            </w:r>
          </w:p>
        </w:tc>
      </w:tr>
    </w:tbl>
    <w:p w:rsidR="0091287F" w:rsidRPr="000E3089" w:rsidRDefault="00A041DF" w:rsidP="000E3089">
      <w:bookmarkStart w:id="0" w:name="_GoBack"/>
      <w:bookmarkEnd w:id="0"/>
    </w:p>
    <w:sectPr w:rsidR="0091287F" w:rsidRPr="000E3089" w:rsidSect="00105861">
      <w:pgSz w:w="11906" w:h="16838"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EB6"/>
    <w:multiLevelType w:val="hybridMultilevel"/>
    <w:tmpl w:val="8BACDF8E"/>
    <w:lvl w:ilvl="0" w:tplc="33C09A3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2016E"/>
    <w:multiLevelType w:val="hybridMultilevel"/>
    <w:tmpl w:val="FF3A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D67971"/>
    <w:multiLevelType w:val="hybridMultilevel"/>
    <w:tmpl w:val="FF3A1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424A"/>
    <w:rsid w:val="000D424A"/>
    <w:rsid w:val="000E3089"/>
    <w:rsid w:val="001E48B2"/>
    <w:rsid w:val="00396C2E"/>
    <w:rsid w:val="005C70BC"/>
    <w:rsid w:val="007864A1"/>
    <w:rsid w:val="00A041DF"/>
    <w:rsid w:val="00D16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24A"/>
    <w:pPr>
      <w:spacing w:after="200" w:line="276" w:lineRule="auto"/>
    </w:pPr>
    <w:rPr>
      <w:rFonts w:eastAsiaTheme="minorEastAsia"/>
      <w:szCs w:val="22"/>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24A"/>
    <w:pPr>
      <w:spacing w:after="0" w:line="240" w:lineRule="auto"/>
    </w:pPr>
    <w:rPr>
      <w:rFonts w:eastAsiaTheme="minorEastAsia"/>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424A"/>
    <w:pPr>
      <w:spacing w:after="160" w:line="259" w:lineRule="auto"/>
      <w:ind w:left="720"/>
      <w:contextualSpacing/>
    </w:pPr>
    <w:rPr>
      <w:rFonts w:eastAsiaTheme="minorHAnsi"/>
      <w:lang w:val="en-IN"/>
    </w:rPr>
  </w:style>
  <w:style w:type="character" w:customStyle="1" w:styleId="pretag">
    <w:name w:val="pretag"/>
    <w:basedOn w:val="DefaultParagraphFont"/>
    <w:rsid w:val="000D424A"/>
  </w:style>
</w:styles>
</file>

<file path=word/webSettings.xml><?xml version="1.0" encoding="utf-8"?>
<w:webSettings xmlns:r="http://schemas.openxmlformats.org/officeDocument/2006/relationships" xmlns:w="http://schemas.openxmlformats.org/wordprocessingml/2006/main">
  <w:divs>
    <w:div w:id="948468924">
      <w:bodyDiv w:val="1"/>
      <w:marLeft w:val="0"/>
      <w:marRight w:val="0"/>
      <w:marTop w:val="0"/>
      <w:marBottom w:val="0"/>
      <w:divBdr>
        <w:top w:val="none" w:sz="0" w:space="0" w:color="auto"/>
        <w:left w:val="none" w:sz="0" w:space="0" w:color="auto"/>
        <w:bottom w:val="none" w:sz="0" w:space="0" w:color="auto"/>
        <w:right w:val="none" w:sz="0" w:space="0" w:color="auto"/>
      </w:divBdr>
    </w:div>
    <w:div w:id="2049144134">
      <w:bodyDiv w:val="1"/>
      <w:marLeft w:val="0"/>
      <w:marRight w:val="0"/>
      <w:marTop w:val="0"/>
      <w:marBottom w:val="0"/>
      <w:divBdr>
        <w:top w:val="none" w:sz="0" w:space="0" w:color="auto"/>
        <w:left w:val="none" w:sz="0" w:space="0" w:color="auto"/>
        <w:bottom w:val="none" w:sz="0" w:space="0" w:color="auto"/>
        <w:right w:val="none" w:sz="0" w:space="0" w:color="auto"/>
      </w:divBdr>
    </w:div>
    <w:div w:id="214692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2022-01-20T09:19:00Z</dcterms:created>
  <dcterms:modified xsi:type="dcterms:W3CDTF">2022-01-20T09:19:00Z</dcterms:modified>
</cp:coreProperties>
</file>